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eorgia" w:cs="Georgia" w:eastAsia="Georgia" w:hAnsi="Georgia"/>
          <w:b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sz w:val="23"/>
          <w:szCs w:val="23"/>
          <w:rtl w:val="0"/>
        </w:rPr>
        <w:t xml:space="preserve">POLÍTICA DE USO DO CARTÃO CORPORATIVO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JUSTIFICATIVA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Esta Política formaliza o procedimento para a administração e gestão dos cartões de crédito Clara Business e Clara Business Black ("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Cartões Clara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") são fornecidos pela [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INSERIR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] como ferramenta de trabalho.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 cartões corporativos são utilizados como ferramenta de trabalho oferecida pela [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INSERIR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] para que seus empregados possam utilizá-los como meio de pagamento para facilitar o desenvolvimento de certos processos internos que exigem desembolsos imediatos ao prestador ou a obrigação de realizar transações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online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DISPOSIÇÕES GERAIS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 cartões corporativos serão atribuídos às pessoas que, devido à natureza de suas atividades, terão que efetuar pagamentos por este meio e o gerente responsável da área será encarregado de avaliar a relevância dos mesmos.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 correto uso e administração do cartão fornecido ao funcionário é de sua responsabilidade.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 limite de cada cartão corporativo será ajustado para as despesas estimadas pela área financeira, de acordo com as necessidades de cada portador e validadas por seu gerente. 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 cartões corporativos designados terão a finalidade exclusiva de realizar transações operacionais necessárias para o trabalho do portador do cartão dentro da [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INSERIR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].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 uso e administração de cartões corporativos devem ser conduzidos sob as regras indicadas no Código de Ética e Conduta da [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INSERIR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] e demais Políticas internas aplicáveis.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despesas não relacionadas às operações internas da empresa ou não previamente autorizadas pelo gerente da área, poderão ser deduzidas do salário do funcionário responsável pelo cartão. 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 mau uso de cartões corporativos, seja por fraude, negligência ou uso indevido poderá resultar em sanções por parte da [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INSERIR]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que podem ir desde uma advertência comum até a dispensa por justa causa do colaborador.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Os cartões corporativos podem ser bloqueados e/ou cancelados a qualquer momento, sem aviso prévio.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É imprescindível que todas as notas fiscais referentes às transações realizadas por meio do cartão sejam devidamente registradas e enviadas ao setor competente. 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 caso de compras relacionadas com viagens a trabalho, a viagem e a média de gastos a serem realizados pelo funcionário deve ser aprovada por seu gerente. 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Para compras de passagens aéreas, deve ser seguida a tabela abaixo referentes às autorizações para compra de passagens por meio de seu Cartão Clara, mediante aprovação, considerando que as passagens serão compradas pelos próprios funcionários que as utilizarão: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Cargo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Tipo de passagem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Sócio/Fundador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Econômica/Executiva</w:t>
            </w:r>
          </w:p>
        </w:tc>
      </w:tr>
      <w:tr>
        <w:trPr>
          <w:cantSplit w:val="0"/>
          <w:trHeight w:val="44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Diretor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Econômica/Executiva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Gerente de área/head/lead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Econômica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Supervisor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Econômica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Econômica</w:t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Caso os custos para compra de passagem aérea superem o valor anteriormente estimado, a área financeira deve ser informada.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Para passagens aéreas internacionais na classe executiva, o valor gasto por meio do Cartão  Clara não deve superar o valor de R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$ ___.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Para passagens aéreas internacionais e nacionais de classe econômica, o valor gasto por meio do Cartão Clara não deve superar os valores de R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$ ___ e R$ ___.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 mesma forma, para acomodação, deve ser respeitado o limite de gastos estabelecido no valor diário de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R$ ____.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Para pagamento de despesas com alimentação em viagem por meio do Cartão  Clara, deve ser respeitado o limite de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R$___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por refeição (café da manhã, almoço e jantar).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despesas com transporte em viagem a trabalho, cujo pagamento for realizado por meio do Cartão Clara, devem ser mantidas em patamar diário máximo de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R$ __.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Qualquer utilização do Cartão Clara que não esteja prevista na presente Política será considerada como estando em desconformidade com as regras para sua utilização e  deve ser validada com o gerente responsável, bem como com a área financeira.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Assinatura de ciência: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Nome e assinatura do funcionário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76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2hSZDC0Fw6PbSvx1BT1q9nqbPA==">AMUW2mWM0DND4WC8TEHP2Mb3mAAxBbfz1EjCqzov/Ua+vmqjNqodytMLQy4Qb5fpzv3EMfidaR8XPVWRjWKth8LVrbL6Mq97mRIix5tfWL5UWngULVFcjL8=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